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0BA" w:rsidRDefault="00643F5E">
      <w:pPr>
        <w:spacing w:after="0" w:line="259" w:lineRule="auto"/>
        <w:ind w:left="0" w:right="43" w:firstLine="0"/>
        <w:jc w:val="center"/>
        <w:rPr>
          <w:sz w:val="24"/>
          <w:szCs w:val="24"/>
        </w:rPr>
      </w:pPr>
      <w:r>
        <w:rPr>
          <w:b/>
          <w:sz w:val="24"/>
          <w:szCs w:val="24"/>
          <w:u w:val="single" w:color="000000"/>
        </w:rPr>
        <w:t>MEMORIAL DESCRITIVO</w:t>
      </w:r>
    </w:p>
    <w:p w:rsidR="003510BA" w:rsidRDefault="003510BA">
      <w:pPr>
        <w:spacing w:after="0" w:line="259" w:lineRule="auto"/>
        <w:ind w:left="0" w:right="43" w:firstLine="0"/>
        <w:jc w:val="center"/>
        <w:rPr>
          <w:b/>
          <w:color w:val="auto"/>
          <w:sz w:val="24"/>
          <w:szCs w:val="24"/>
        </w:rPr>
      </w:pP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Obra:</w:t>
      </w:r>
      <w:r w:rsidRPr="000C1C29">
        <w:rPr>
          <w:sz w:val="24"/>
          <w:szCs w:val="24"/>
        </w:rPr>
        <w:t xml:space="preserve"> </w:t>
      </w:r>
      <w:r w:rsidR="00F56835" w:rsidRPr="00F56835">
        <w:rPr>
          <w:sz w:val="24"/>
          <w:szCs w:val="24"/>
        </w:rPr>
        <w:t xml:space="preserve">Restauração de contenção de solo na ponte do Córrego Taquara do Reino, próxima ao acesso do bairro </w:t>
      </w:r>
      <w:proofErr w:type="spellStart"/>
      <w:r w:rsidR="00F56835" w:rsidRPr="00F56835">
        <w:rPr>
          <w:sz w:val="24"/>
          <w:szCs w:val="24"/>
        </w:rPr>
        <w:t>Angelo</w:t>
      </w:r>
      <w:proofErr w:type="spellEnd"/>
      <w:r w:rsidR="00F56835" w:rsidRPr="00F56835">
        <w:rPr>
          <w:sz w:val="24"/>
          <w:szCs w:val="24"/>
        </w:rPr>
        <w:t xml:space="preserve"> de Rosa</w:t>
      </w:r>
      <w:r w:rsidR="00F56835">
        <w:rPr>
          <w:sz w:val="24"/>
          <w:szCs w:val="24"/>
        </w:rPr>
        <w:t>.</w:t>
      </w:r>
    </w:p>
    <w:p w:rsidR="003510BA" w:rsidRPr="000C1C29" w:rsidRDefault="00643F5E">
      <w:pPr>
        <w:spacing w:after="0"/>
        <w:ind w:left="0" w:firstLine="0"/>
        <w:rPr>
          <w:sz w:val="24"/>
          <w:szCs w:val="24"/>
        </w:rPr>
      </w:pPr>
      <w:r w:rsidRPr="000E6553">
        <w:rPr>
          <w:b/>
          <w:sz w:val="24"/>
          <w:szCs w:val="24"/>
        </w:rPr>
        <w:t>Local:</w:t>
      </w:r>
      <w:r w:rsidRPr="000C1C29">
        <w:rPr>
          <w:sz w:val="24"/>
          <w:szCs w:val="24"/>
        </w:rPr>
        <w:t xml:space="preserve"> </w:t>
      </w:r>
      <w:r w:rsidR="00F56835" w:rsidRPr="00F56835">
        <w:rPr>
          <w:sz w:val="24"/>
          <w:szCs w:val="24"/>
        </w:rPr>
        <w:t xml:space="preserve">Ponte do Córrego Taquara do Reino - Avenida Romão Fernando/Avenida Anchieta - Acesso ao bairro </w:t>
      </w:r>
      <w:proofErr w:type="spellStart"/>
      <w:r w:rsidR="00F56835" w:rsidRPr="00F56835">
        <w:rPr>
          <w:sz w:val="24"/>
          <w:szCs w:val="24"/>
        </w:rPr>
        <w:t>Angelo</w:t>
      </w:r>
      <w:proofErr w:type="spellEnd"/>
      <w:r w:rsidR="00F56835" w:rsidRPr="00F56835">
        <w:rPr>
          <w:sz w:val="24"/>
          <w:szCs w:val="24"/>
        </w:rPr>
        <w:t xml:space="preserve"> de Rosa</w:t>
      </w:r>
      <w:r w:rsidR="00F56835">
        <w:rPr>
          <w:sz w:val="24"/>
          <w:szCs w:val="24"/>
        </w:rPr>
        <w:t>.</w:t>
      </w:r>
    </w:p>
    <w:p w:rsidR="003510BA" w:rsidRPr="000C1C29" w:rsidRDefault="003510BA">
      <w:pPr>
        <w:spacing w:after="0"/>
        <w:ind w:left="0" w:firstLine="0"/>
        <w:rPr>
          <w:sz w:val="24"/>
          <w:szCs w:val="24"/>
        </w:rPr>
      </w:pP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Informando que: </w:t>
      </w:r>
    </w:p>
    <w:p w:rsidR="003510BA" w:rsidRPr="000C1C29" w:rsidRDefault="00643F5E">
      <w:pPr>
        <w:ind w:left="0" w:right="-27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Os serviços contratados deverão ser rigorosamente executados de acordo com a boa técnica, normas pertinentes e os projetos apresentados. Os direitos e obrigações da Construtora e Fornecedores serão perfeitamente definidos em todos os casos mediante editais e a posteriori, por contratos específicos. </w:t>
      </w:r>
    </w:p>
    <w:p w:rsidR="003510BA" w:rsidRPr="000C1C29" w:rsidRDefault="003510BA">
      <w:pPr>
        <w:spacing w:after="0" w:line="259" w:lineRule="auto"/>
        <w:ind w:left="0" w:right="-28" w:firstLine="0"/>
        <w:rPr>
          <w:sz w:val="24"/>
          <w:szCs w:val="24"/>
        </w:rPr>
      </w:pPr>
    </w:p>
    <w:p w:rsidR="003510BA" w:rsidRDefault="00643F5E" w:rsidP="004A79D3">
      <w:pPr>
        <w:pStyle w:val="PargrafodaLista"/>
        <w:numPr>
          <w:ilvl w:val="0"/>
          <w:numId w:val="2"/>
        </w:numPr>
        <w:spacing w:after="0" w:line="259" w:lineRule="auto"/>
        <w:ind w:right="-28"/>
        <w:rPr>
          <w:b/>
          <w:bCs/>
          <w:sz w:val="24"/>
          <w:szCs w:val="24"/>
        </w:rPr>
      </w:pPr>
      <w:r w:rsidRPr="004A79D3">
        <w:rPr>
          <w:b/>
          <w:bCs/>
          <w:sz w:val="24"/>
          <w:szCs w:val="24"/>
        </w:rPr>
        <w:t>SERVIÇOS PRELIMINARES</w:t>
      </w:r>
      <w:r w:rsidR="009777DA" w:rsidRPr="004A79D3">
        <w:rPr>
          <w:b/>
          <w:bCs/>
          <w:sz w:val="24"/>
          <w:szCs w:val="24"/>
        </w:rPr>
        <w:t>/REMOÇÕES</w:t>
      </w:r>
    </w:p>
    <w:p w:rsid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</w:p>
    <w:p w:rsidR="004A79D3" w:rsidRDefault="004A79D3" w:rsidP="004A79D3">
      <w:pPr>
        <w:spacing w:after="0" w:line="240" w:lineRule="auto"/>
        <w:ind w:left="60" w:right="0" w:firstLine="0"/>
      </w:pPr>
      <w:r w:rsidRPr="000C1C29">
        <w:rPr>
          <w:b/>
          <w:bCs/>
          <w:sz w:val="24"/>
          <w:szCs w:val="24"/>
        </w:rPr>
        <w:t xml:space="preserve">1.1 </w:t>
      </w:r>
      <w:r w:rsidRPr="004A79D3">
        <w:rPr>
          <w:b/>
          <w:sz w:val="24"/>
          <w:szCs w:val="24"/>
        </w:rPr>
        <w:t>Placa em lona com impressão digital e estrutura em madeira</w:t>
      </w:r>
    </w:p>
    <w:p w:rsidR="004A79D3" w:rsidRDefault="004A79D3" w:rsidP="004A79D3">
      <w:pPr>
        <w:spacing w:after="0" w:line="259" w:lineRule="auto"/>
        <w:ind w:right="-28"/>
      </w:pPr>
      <w:r>
        <w:t>Será medido por área de placa executada (m²).</w:t>
      </w:r>
    </w:p>
    <w:p w:rsidR="004A79D3" w:rsidRPr="004A79D3" w:rsidRDefault="004A79D3" w:rsidP="004A79D3">
      <w:pPr>
        <w:spacing w:after="0" w:line="259" w:lineRule="auto"/>
        <w:ind w:right="-28"/>
        <w:rPr>
          <w:b/>
          <w:bCs/>
          <w:sz w:val="24"/>
          <w:szCs w:val="24"/>
        </w:rPr>
      </w:pPr>
      <w:r>
        <w:t xml:space="preserve">O item remunera o fornecimento e instalação de placa em lona para fachada conforme normas e leis vigentes, constituída por: banner em lona com impressão digital de alta resolução, requadro em pontalete 75 mm x 75 mm; remunera também o fornecimento de estrutura em madeira para fixação do banner em pontaletes e sarrafos em Pinho-do-Paraná (Araucária </w:t>
      </w:r>
      <w:proofErr w:type="spellStart"/>
      <w:r>
        <w:t>angustifolia</w:t>
      </w:r>
      <w:proofErr w:type="spellEnd"/>
      <w:r>
        <w:t xml:space="preserve">), ou </w:t>
      </w:r>
      <w:proofErr w:type="spellStart"/>
      <w:r>
        <w:t>Quarubarana</w:t>
      </w:r>
      <w:proofErr w:type="spellEnd"/>
      <w:r>
        <w:t xml:space="preserve"> (</w:t>
      </w:r>
      <w:proofErr w:type="spellStart"/>
      <w:r>
        <w:t>Erisma</w:t>
      </w:r>
      <w:proofErr w:type="spellEnd"/>
      <w:r>
        <w:t xml:space="preserve"> </w:t>
      </w:r>
      <w:proofErr w:type="spellStart"/>
      <w:r>
        <w:t>uncinatum</w:t>
      </w:r>
      <w:proofErr w:type="spellEnd"/>
      <w:r>
        <w:t>), conhecida também como Cedrinho, ou Cambará (</w:t>
      </w:r>
      <w:proofErr w:type="spellStart"/>
      <w:r>
        <w:t>Qualea</w:t>
      </w:r>
      <w:proofErr w:type="spellEnd"/>
      <w:r>
        <w:t xml:space="preserve"> </w:t>
      </w:r>
      <w:proofErr w:type="spellStart"/>
      <w:r>
        <w:t>spp</w:t>
      </w:r>
      <w:proofErr w:type="spellEnd"/>
      <w:r>
        <w:t>), travamento realizado a cada 1,5 m com pontalete, pintura em tinta PVA para madeira; inclusive materiais acessórios e a mão-de-obra necessária para instalação completa da placa.</w:t>
      </w:r>
    </w:p>
    <w:p w:rsidR="003510BA" w:rsidRPr="000C1C29" w:rsidRDefault="003510BA">
      <w:pPr>
        <w:ind w:left="0" w:right="-27" w:firstLine="0"/>
        <w:rPr>
          <w:sz w:val="24"/>
          <w:szCs w:val="24"/>
        </w:rPr>
      </w:pPr>
    </w:p>
    <w:p w:rsidR="003510BA" w:rsidRPr="000C1C29" w:rsidRDefault="00643F5E" w:rsidP="001A084C">
      <w:pPr>
        <w:spacing w:after="0" w:line="240" w:lineRule="auto"/>
        <w:ind w:left="6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Limpeza manual do terreno, inclusive troncos até 5 cm de diâmetro, com caminhão à disposição dentro da obra, até o raio de 1 km.</w:t>
      </w:r>
    </w:p>
    <w:p w:rsidR="00617C3C" w:rsidRDefault="009777DA" w:rsidP="009777DA">
      <w:pPr>
        <w:ind w:left="60" w:firstLine="0"/>
        <w:rPr>
          <w:sz w:val="24"/>
          <w:szCs w:val="24"/>
        </w:rPr>
      </w:pPr>
      <w:r w:rsidRPr="000C1C29">
        <w:rPr>
          <w:sz w:val="24"/>
          <w:szCs w:val="24"/>
        </w:rPr>
        <w:t>Será medido pela área real do terreno, onde ocorrer a limpeza manual de vegetação (m²).O item remunera o fornecimento de caminhão basculante, a mão de obra necessária e ferramentas auxiliares para a execução dos serviços executados manualmente com auxílio de ferramental apropriado para a roçada, derrubada de árvores e arbustos, destocamento, fragmentação de galhos e troncos, empilhamento e transporte, abrangendo: a remoção de vegetação, árvores e arbustos com diâmetro do tronco até 5 cm, medidos na altura de 1 m do solo, capim. etc.; arrancamento e remoção de tocos, raízes e troncos; raspagem manual da camada de solo vegetal na espessura mínima de 15 cm; carga manual; e o transporte, interno na obra, num raio de um quilômetro.</w:t>
      </w:r>
    </w:p>
    <w:p w:rsidR="004A79D3" w:rsidRPr="000C1C29" w:rsidRDefault="004A79D3" w:rsidP="00617C3C">
      <w:pPr>
        <w:spacing w:after="0" w:line="240" w:lineRule="auto"/>
        <w:ind w:left="0" w:right="0" w:firstLine="0"/>
        <w:rPr>
          <w:b/>
          <w:bCs/>
          <w:sz w:val="24"/>
          <w:szCs w:val="24"/>
        </w:rPr>
      </w:pPr>
    </w:p>
    <w:p w:rsidR="003510BA" w:rsidRPr="000C1C29" w:rsidRDefault="00643F5E" w:rsidP="00617C3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3</w:t>
      </w:r>
      <w:r w:rsidRPr="000C1C29">
        <w:rPr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Carregamento mecanizado de entulho fragmentado, com caminhão à disposição dentro da obra, até o raio de 1 km.</w:t>
      </w:r>
    </w:p>
    <w:p w:rsidR="009777DA" w:rsidRPr="000C1C29" w:rsidRDefault="009777DA" w:rsidP="004A79D3">
      <w:pPr>
        <w:ind w:left="113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por volume de entulho retirado, aferido no caminhão (m³). O item remunera o fornecimento de equipamentos e a mão de obra necessária para a execução dos serviços: a carga mecanizada; o transporte com caminhão, até 1 </w:t>
      </w:r>
      <w:r w:rsidRPr="000C1C29">
        <w:rPr>
          <w:sz w:val="24"/>
          <w:szCs w:val="24"/>
        </w:rPr>
        <w:lastRenderedPageBreak/>
        <w:t>(um) quilômetro; o descarregamento; a seleção e acomodação manual do entulho em lotes. A execução dos serviços deverá cumprir todas as exigências e determinações previstas na legislação: Resolução nº 307, de 5 de julho de 2002 e suas alterações, pelo Conselho Nacional do Meio Ambiente (CONAMA). Normas técnicas: NBR 15112, NBR 15113 e NBR 15114.</w:t>
      </w:r>
    </w:p>
    <w:p w:rsidR="00223549" w:rsidRPr="000C1C29" w:rsidRDefault="00223549">
      <w:pPr>
        <w:rPr>
          <w:sz w:val="24"/>
          <w:szCs w:val="24"/>
        </w:rPr>
      </w:pPr>
    </w:p>
    <w:p w:rsidR="003510BA" w:rsidRPr="000C1C29" w:rsidRDefault="00643F5E" w:rsidP="00617C3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1.</w:t>
      </w:r>
      <w:r w:rsidR="004A79D3">
        <w:rPr>
          <w:b/>
          <w:bCs/>
          <w:sz w:val="24"/>
          <w:szCs w:val="24"/>
        </w:rPr>
        <w:t>4</w:t>
      </w:r>
      <w:r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Transporte de entulho, para distâncias superiores ao 3° km até o 5° km.</w:t>
      </w:r>
    </w:p>
    <w:p w:rsidR="00617C3C" w:rsidRPr="000C1C29" w:rsidRDefault="009777DA">
      <w:pPr>
        <w:rPr>
          <w:sz w:val="24"/>
          <w:szCs w:val="24"/>
        </w:rPr>
      </w:pPr>
      <w:r w:rsidRPr="000C1C29">
        <w:rPr>
          <w:sz w:val="24"/>
          <w:szCs w:val="24"/>
        </w:rPr>
        <w:t>Será medido por volume de entulho, aferido no caminhão, sendo a distância de transporte considerada desde o local de carregamento até o local de despejo, menos 1 quilômetro (m³).O item remunera o fornecimento de caminhão basculante, com caçamba reforçada, e a mão de obra necessária para a execução do serviço de transporte do material de entulho, para distâncias superiores a 3 quilômetros até 5 quilômetros. Remunera também o retorno do veículo descarregado. Todo entulho gerado deverá obedecer à Lei nº 14.803, de 26 de junho de 2008 e à Resolução CONAMA nº 307/2002 e suas alterações. Normas técnicas: NBR 15112, NBR 15113 e NBR 15114.</w:t>
      </w:r>
    </w:p>
    <w:p w:rsidR="00125812" w:rsidRPr="000C1C29" w:rsidRDefault="00125812" w:rsidP="009777DA">
      <w:pPr>
        <w:ind w:left="0" w:firstLine="0"/>
        <w:rPr>
          <w:sz w:val="24"/>
          <w:szCs w:val="24"/>
        </w:rPr>
      </w:pPr>
    </w:p>
    <w:p w:rsidR="00125812" w:rsidRPr="000C1C29" w:rsidRDefault="00994E66" w:rsidP="009777DA">
      <w:pPr>
        <w:ind w:left="0" w:firstLine="0"/>
        <w:rPr>
          <w:b/>
          <w:sz w:val="24"/>
          <w:szCs w:val="24"/>
        </w:rPr>
      </w:pPr>
      <w:r w:rsidRPr="000C1C29">
        <w:rPr>
          <w:b/>
          <w:sz w:val="24"/>
          <w:szCs w:val="24"/>
        </w:rPr>
        <w:t xml:space="preserve">2.0 </w:t>
      </w:r>
      <w:r w:rsidR="009777DA" w:rsidRPr="000C1C29">
        <w:rPr>
          <w:b/>
          <w:sz w:val="24"/>
          <w:szCs w:val="24"/>
        </w:rPr>
        <w:t>CONTENÇÃO</w:t>
      </w:r>
      <w:r w:rsidR="00D729A9" w:rsidRPr="000C1C29">
        <w:rPr>
          <w:sz w:val="24"/>
          <w:szCs w:val="24"/>
        </w:rPr>
        <w:t>.</w:t>
      </w:r>
    </w:p>
    <w:p w:rsidR="004C0EF8" w:rsidRPr="000C1C29" w:rsidRDefault="004C0EF8" w:rsidP="00125812">
      <w:pPr>
        <w:rPr>
          <w:sz w:val="24"/>
          <w:szCs w:val="24"/>
        </w:rPr>
      </w:pPr>
    </w:p>
    <w:p w:rsidR="004C0EF8" w:rsidRPr="000C1C29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1</w:t>
      </w:r>
      <w:r w:rsidRPr="000C1C29">
        <w:rPr>
          <w:b/>
          <w:bCs/>
          <w:sz w:val="24"/>
          <w:szCs w:val="24"/>
        </w:rPr>
        <w:t xml:space="preserve"> </w:t>
      </w:r>
      <w:r w:rsidRPr="000C1C29">
        <w:rPr>
          <w:b/>
          <w:color w:val="auto"/>
          <w:sz w:val="24"/>
          <w:szCs w:val="24"/>
        </w:rPr>
        <w:t>Forma em madeira comum para estrutura.</w:t>
      </w:r>
    </w:p>
    <w:p w:rsidR="004C0EF8" w:rsidRPr="000C1C29" w:rsidRDefault="004C0EF8" w:rsidP="004C0EF8">
      <w:pPr>
        <w:rPr>
          <w:sz w:val="24"/>
          <w:szCs w:val="24"/>
        </w:rPr>
      </w:pPr>
      <w:r w:rsidRPr="000C1C29">
        <w:rPr>
          <w:sz w:val="24"/>
          <w:szCs w:val="24"/>
        </w:rPr>
        <w:t>Será medido pelo desenvolvimento das áreas em contato com o concreto, não se descontando áreas de interseção até 0,20 m² (m²).</w:t>
      </w:r>
    </w:p>
    <w:p w:rsidR="004C0EF8" w:rsidRPr="000C1C29" w:rsidRDefault="004C0EF8" w:rsidP="004C0EF8">
      <w:pPr>
        <w:rPr>
          <w:sz w:val="24"/>
          <w:szCs w:val="24"/>
        </w:rPr>
      </w:pPr>
      <w:r w:rsidRPr="000C1C29">
        <w:rPr>
          <w:sz w:val="24"/>
          <w:szCs w:val="24"/>
        </w:rPr>
        <w:t xml:space="preserve">O item remunera o fornecimento de materiais e mão de obra necessários para a execução e instalação de formas para estrutura, em tábua de </w:t>
      </w:r>
      <w:proofErr w:type="spellStart"/>
      <w:r w:rsidRPr="000C1C29">
        <w:rPr>
          <w:sz w:val="24"/>
          <w:szCs w:val="24"/>
        </w:rPr>
        <w:t>Erisma</w:t>
      </w:r>
      <w:proofErr w:type="spellEnd"/>
      <w:r w:rsidRPr="000C1C29">
        <w:rPr>
          <w:sz w:val="24"/>
          <w:szCs w:val="24"/>
        </w:rPr>
        <w:t xml:space="preserve"> </w:t>
      </w:r>
      <w:proofErr w:type="spellStart"/>
      <w:r w:rsidRPr="000C1C29">
        <w:rPr>
          <w:sz w:val="24"/>
          <w:szCs w:val="24"/>
        </w:rPr>
        <w:t>uncinatum</w:t>
      </w:r>
      <w:proofErr w:type="spellEnd"/>
      <w:r w:rsidRPr="000C1C29">
        <w:rPr>
          <w:sz w:val="24"/>
          <w:szCs w:val="24"/>
        </w:rPr>
        <w:t xml:space="preserve"> (conhecido como </w:t>
      </w:r>
      <w:proofErr w:type="spellStart"/>
      <w:r w:rsidRPr="000C1C29">
        <w:rPr>
          <w:sz w:val="24"/>
          <w:szCs w:val="24"/>
        </w:rPr>
        <w:t>Quarubarana</w:t>
      </w:r>
      <w:proofErr w:type="spellEnd"/>
      <w:r w:rsidRPr="000C1C29">
        <w:rPr>
          <w:sz w:val="24"/>
          <w:szCs w:val="24"/>
        </w:rPr>
        <w:t xml:space="preserve"> ou Cedrinho) ou </w:t>
      </w:r>
      <w:proofErr w:type="spellStart"/>
      <w:r w:rsidRPr="000C1C29">
        <w:rPr>
          <w:sz w:val="24"/>
          <w:szCs w:val="24"/>
        </w:rPr>
        <w:t>Qualea</w:t>
      </w:r>
      <w:proofErr w:type="spellEnd"/>
      <w:r w:rsidRPr="000C1C29">
        <w:rPr>
          <w:sz w:val="24"/>
          <w:szCs w:val="24"/>
        </w:rPr>
        <w:t xml:space="preserve"> </w:t>
      </w:r>
      <w:proofErr w:type="spellStart"/>
      <w:r w:rsidRPr="000C1C29">
        <w:rPr>
          <w:sz w:val="24"/>
          <w:szCs w:val="24"/>
        </w:rPr>
        <w:t>spp</w:t>
      </w:r>
      <w:proofErr w:type="spellEnd"/>
      <w:r w:rsidRPr="000C1C29">
        <w:rPr>
          <w:sz w:val="24"/>
          <w:szCs w:val="24"/>
        </w:rPr>
        <w:t xml:space="preserve"> (conhecida como Cambará) de 1 x 12 e pontaletes de </w:t>
      </w:r>
      <w:proofErr w:type="spellStart"/>
      <w:r w:rsidRPr="000C1C29">
        <w:rPr>
          <w:sz w:val="24"/>
          <w:szCs w:val="24"/>
        </w:rPr>
        <w:t>Erisma</w:t>
      </w:r>
      <w:proofErr w:type="spellEnd"/>
      <w:r w:rsidRPr="000C1C29">
        <w:rPr>
          <w:sz w:val="24"/>
          <w:szCs w:val="24"/>
        </w:rPr>
        <w:t xml:space="preserve"> </w:t>
      </w:r>
      <w:proofErr w:type="spellStart"/>
      <w:r w:rsidRPr="000C1C29">
        <w:rPr>
          <w:sz w:val="24"/>
          <w:szCs w:val="24"/>
        </w:rPr>
        <w:t>uncinatum</w:t>
      </w:r>
      <w:proofErr w:type="spellEnd"/>
      <w:r w:rsidRPr="000C1C29">
        <w:rPr>
          <w:sz w:val="24"/>
          <w:szCs w:val="24"/>
        </w:rPr>
        <w:t xml:space="preserve"> (conhecido como </w:t>
      </w:r>
      <w:proofErr w:type="spellStart"/>
      <w:r w:rsidRPr="000C1C29">
        <w:rPr>
          <w:sz w:val="24"/>
          <w:szCs w:val="24"/>
        </w:rPr>
        <w:t>Quarubarana</w:t>
      </w:r>
      <w:proofErr w:type="spellEnd"/>
      <w:r w:rsidRPr="000C1C29">
        <w:rPr>
          <w:sz w:val="24"/>
          <w:szCs w:val="24"/>
        </w:rPr>
        <w:t xml:space="preserve"> ou Cedrinho) ou </w:t>
      </w:r>
      <w:proofErr w:type="spellStart"/>
      <w:r w:rsidRPr="000C1C29">
        <w:rPr>
          <w:sz w:val="24"/>
          <w:szCs w:val="24"/>
        </w:rPr>
        <w:t>Qualea</w:t>
      </w:r>
      <w:proofErr w:type="spellEnd"/>
      <w:r w:rsidRPr="000C1C29">
        <w:rPr>
          <w:sz w:val="24"/>
          <w:szCs w:val="24"/>
        </w:rPr>
        <w:t xml:space="preserve"> </w:t>
      </w:r>
      <w:proofErr w:type="spellStart"/>
      <w:r w:rsidRPr="000C1C29">
        <w:rPr>
          <w:sz w:val="24"/>
          <w:szCs w:val="24"/>
        </w:rPr>
        <w:t>spp</w:t>
      </w:r>
      <w:proofErr w:type="spellEnd"/>
      <w:r w:rsidRPr="000C1C29">
        <w:rPr>
          <w:sz w:val="24"/>
          <w:szCs w:val="24"/>
        </w:rPr>
        <w:t xml:space="preserve"> (conhecida como Cambará) de 3 x 3; incluindo </w:t>
      </w:r>
      <w:proofErr w:type="spellStart"/>
      <w:r w:rsidRPr="000C1C29">
        <w:rPr>
          <w:sz w:val="24"/>
          <w:szCs w:val="24"/>
        </w:rPr>
        <w:t>cimbramento</w:t>
      </w:r>
      <w:proofErr w:type="spellEnd"/>
      <w:r w:rsidRPr="000C1C29">
        <w:rPr>
          <w:sz w:val="24"/>
          <w:szCs w:val="24"/>
        </w:rPr>
        <w:t xml:space="preserve"> até 3 m de altura, gravatas, sarrafos de enrijecimento, desmoldante, desforma e </w:t>
      </w:r>
      <w:proofErr w:type="spellStart"/>
      <w:r w:rsidRPr="000C1C29">
        <w:rPr>
          <w:sz w:val="24"/>
          <w:szCs w:val="24"/>
        </w:rPr>
        <w:t>descimbramento</w:t>
      </w:r>
      <w:proofErr w:type="spellEnd"/>
      <w:r w:rsidRPr="000C1C29">
        <w:rPr>
          <w:sz w:val="24"/>
          <w:szCs w:val="24"/>
        </w:rPr>
        <w:t>.</w:t>
      </w:r>
    </w:p>
    <w:p w:rsidR="004C0EF8" w:rsidRPr="000C1C29" w:rsidRDefault="004C0EF8" w:rsidP="004C0EF8">
      <w:pPr>
        <w:rPr>
          <w:sz w:val="24"/>
          <w:szCs w:val="24"/>
        </w:rPr>
      </w:pPr>
    </w:p>
    <w:p w:rsidR="004C0EF8" w:rsidRPr="000C1C29" w:rsidRDefault="004C0EF8" w:rsidP="004C0EF8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2</w:t>
      </w:r>
      <w:r w:rsidRPr="000C1C29">
        <w:rPr>
          <w:b/>
          <w:bCs/>
          <w:sz w:val="24"/>
          <w:szCs w:val="24"/>
        </w:rPr>
        <w:t xml:space="preserve"> </w:t>
      </w:r>
      <w:r w:rsidRPr="000C1C29">
        <w:rPr>
          <w:b/>
          <w:color w:val="auto"/>
          <w:sz w:val="24"/>
          <w:szCs w:val="24"/>
        </w:rPr>
        <w:t>Desmontagem de forma em madeira para estrutura de vigas, com tábuas.</w:t>
      </w:r>
    </w:p>
    <w:p w:rsidR="004C0EF8" w:rsidRPr="000C1C29" w:rsidRDefault="004C0EF8" w:rsidP="004C0EF8">
      <w:pPr>
        <w:rPr>
          <w:sz w:val="24"/>
          <w:szCs w:val="24"/>
        </w:rPr>
      </w:pPr>
      <w:r w:rsidRPr="000C1C29">
        <w:rPr>
          <w:sz w:val="24"/>
          <w:szCs w:val="24"/>
        </w:rPr>
        <w:t>Será medido por área de forma desmontada (m²).</w:t>
      </w:r>
    </w:p>
    <w:p w:rsidR="004A79D3" w:rsidRDefault="004C0EF8" w:rsidP="004A79D3">
      <w:pPr>
        <w:rPr>
          <w:sz w:val="24"/>
          <w:szCs w:val="24"/>
        </w:rPr>
      </w:pPr>
      <w:r w:rsidRPr="000C1C29">
        <w:rPr>
          <w:sz w:val="24"/>
          <w:szCs w:val="24"/>
        </w:rPr>
        <w:t>O item remunera a mão de obra necessária para desmontagem completa de forma de madeira maciça para vigas, com tábuas e sarrafos.</w:t>
      </w:r>
      <w:bookmarkStart w:id="0" w:name="_GoBack"/>
      <w:bookmarkEnd w:id="0"/>
    </w:p>
    <w:p w:rsidR="004A79D3" w:rsidRPr="000C1C29" w:rsidRDefault="004A79D3" w:rsidP="004C0EF8">
      <w:pPr>
        <w:rPr>
          <w:sz w:val="24"/>
          <w:szCs w:val="24"/>
        </w:rPr>
      </w:pPr>
    </w:p>
    <w:p w:rsidR="009777DA" w:rsidRPr="000C1C29" w:rsidRDefault="004C0EF8" w:rsidP="009777DA">
      <w:pPr>
        <w:spacing w:after="0" w:line="240" w:lineRule="auto"/>
        <w:ind w:left="0" w:right="0" w:firstLine="0"/>
        <w:rPr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3</w:t>
      </w:r>
      <w:r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 xml:space="preserve">Concreto ciclópico- fornecimento e aplicação (com 30% de pedra rachão), concreto </w:t>
      </w:r>
      <w:proofErr w:type="spellStart"/>
      <w:r w:rsidR="009777DA" w:rsidRPr="000C1C29">
        <w:rPr>
          <w:b/>
          <w:sz w:val="24"/>
          <w:szCs w:val="24"/>
        </w:rPr>
        <w:t>fck</w:t>
      </w:r>
      <w:proofErr w:type="spellEnd"/>
      <w:r w:rsidR="009777DA" w:rsidRPr="000C1C29">
        <w:rPr>
          <w:b/>
          <w:sz w:val="24"/>
          <w:szCs w:val="24"/>
        </w:rPr>
        <w:t xml:space="preserve"> 15 Mpa.</w:t>
      </w:r>
    </w:p>
    <w:p w:rsidR="009777DA" w:rsidRPr="000C1C29" w:rsidRDefault="009777DA" w:rsidP="001048CF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pelo volume calculado no projeto de formas; sendo que o volume da interseção dos diversos elementos estruturais deve ser computado uma só vez (m³). </w:t>
      </w:r>
    </w:p>
    <w:p w:rsidR="003510BA" w:rsidRPr="000C1C29" w:rsidRDefault="009777DA" w:rsidP="001048CF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>O item remunera o fornecimento de betoneira, 30% pedra de mão, pedra britada números médios, cimento, areia e a mão de obra necessária para o preparo e aplicação do concreto ciclópico.</w:t>
      </w:r>
    </w:p>
    <w:p w:rsidR="009777DA" w:rsidRPr="000C1C29" w:rsidRDefault="009777DA" w:rsidP="001048CF">
      <w:pPr>
        <w:ind w:left="0" w:firstLine="0"/>
        <w:rPr>
          <w:sz w:val="24"/>
          <w:szCs w:val="24"/>
        </w:rPr>
      </w:pPr>
    </w:p>
    <w:p w:rsidR="009777DA" w:rsidRPr="000C1C29" w:rsidRDefault="0057298C" w:rsidP="009777DA">
      <w:pPr>
        <w:spacing w:after="0" w:line="240" w:lineRule="auto"/>
        <w:ind w:left="0" w:right="0" w:firstLine="0"/>
        <w:rPr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4</w:t>
      </w:r>
      <w:r w:rsidR="00383E4E"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Escavação e carga mecanizada para exploração de solo em jazida.</w:t>
      </w:r>
    </w:p>
    <w:p w:rsidR="00383E4E" w:rsidRPr="000C1C29" w:rsidRDefault="009777DA" w:rsidP="0057298C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>Será medido pelo volume de solo escavado (m³), aferido na caixa de empréstimo ou no aterro compactado: a) Na caixa de empréstimo, conforme projeto aprovado pela Contratante e / ou Gerenciadora, apresentado com seções transversais na escala 1:100, desconsiderando-se as camadas de solos inservíveis; b) No aterro compactado, sem considerar a diferença entre as densidades do material no seu estado natural e no estado adquirido após a compactação. O item remunera o fornecimento de equipamentos, materiais acessórios e mão de obra necessária para a execução dos serviços: escavação e carga mecanizada, para exploração de argila selecionada em jazida; expurgo de material não classificado, incluindo a escavação; transporte, junto à jazida, num raio de um quilômetro e o descarregamento para distâncias inferiores a um quilômetro; regularização e conformação do terreno, inclusive recomposição vegetal; remunera também o projeto da caixa de empréstimo e os ensaios tecnológicos necessários à seleção prévia da argila. O item não remunera a limpeza prévia da jazida com a remoção das camadas de solos inservíveis.</w:t>
      </w:r>
    </w:p>
    <w:p w:rsidR="009777DA" w:rsidRPr="000C1C29" w:rsidRDefault="009777DA" w:rsidP="0057298C">
      <w:pPr>
        <w:ind w:left="0" w:firstLine="0"/>
        <w:rPr>
          <w:sz w:val="24"/>
          <w:szCs w:val="24"/>
        </w:rPr>
      </w:pPr>
    </w:p>
    <w:p w:rsidR="003510BA" w:rsidRPr="000C1C29" w:rsidRDefault="0057298C" w:rsidP="0057298C">
      <w:pPr>
        <w:spacing w:after="0" w:line="240" w:lineRule="auto"/>
        <w:ind w:left="0" w:right="0" w:firstLine="0"/>
        <w:rPr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5</w:t>
      </w:r>
      <w:r w:rsidR="00383E4E"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 xml:space="preserve">Transporte de solo de 1ª e 2ª categoria por caminhão para distâncias superiores ao 3° km </w:t>
      </w:r>
      <w:proofErr w:type="spellStart"/>
      <w:r w:rsidR="009777DA" w:rsidRPr="000C1C29">
        <w:rPr>
          <w:b/>
          <w:sz w:val="24"/>
          <w:szCs w:val="24"/>
        </w:rPr>
        <w:t>atéo</w:t>
      </w:r>
      <w:proofErr w:type="spellEnd"/>
      <w:r w:rsidR="009777DA" w:rsidRPr="000C1C29">
        <w:rPr>
          <w:b/>
          <w:sz w:val="24"/>
          <w:szCs w:val="24"/>
        </w:rPr>
        <w:t xml:space="preserve"> 5° km.</w:t>
      </w:r>
    </w:p>
    <w:p w:rsidR="00383E4E" w:rsidRPr="000C1C29" w:rsidRDefault="009777DA" w:rsidP="0057298C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>Será medido pelo volume de solo, aferido na caixa, sendo a distância de transporte considerada desde o local de carregamento até a unidade de destinação final, ou da jazida, até o local de descarregamento, menos 1 quilômetro (m³). O item remunera o tempo do veículo à disposição, para o carregamento, descarregamento e manutenção; os serviços de: transporte, descarregamento, e o retorno do veículo descarregado, para distâncias superiores a 3 quilômetros até 5 quilômetros. O serviço de transporte de solo até unidade de destinação final deverá cumprir todas as exigências e determinações previstas na legislação: Resolução nº 307, de 5 de julho de 2002 e suas alterações, pelo Conselho Nacional do Meio Ambiente (CONAMA). Estão inclusos todos os impostos legais e despesas necessárias junto aos órgãos regulamentadores das atividades envolvidas. Não remunera os serviços de espalhamento quando necessário. Normas técnicas: NBR 15112, NBR 15113 e NBR 15114.</w:t>
      </w:r>
    </w:p>
    <w:p w:rsidR="009777DA" w:rsidRPr="000C1C29" w:rsidRDefault="009777DA" w:rsidP="0057298C">
      <w:pPr>
        <w:ind w:left="0" w:firstLine="0"/>
        <w:rPr>
          <w:sz w:val="24"/>
          <w:szCs w:val="24"/>
        </w:rPr>
      </w:pPr>
    </w:p>
    <w:p w:rsidR="003510BA" w:rsidRPr="000C1C29" w:rsidRDefault="0057298C" w:rsidP="0057298C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>2.</w:t>
      </w:r>
      <w:r w:rsidR="009777DA" w:rsidRPr="000C1C29">
        <w:rPr>
          <w:b/>
          <w:bCs/>
          <w:sz w:val="24"/>
          <w:szCs w:val="24"/>
        </w:rPr>
        <w:t>6</w:t>
      </w:r>
      <w:r w:rsidR="00643F5E" w:rsidRPr="000C1C29">
        <w:rPr>
          <w:b/>
          <w:bCs/>
          <w:sz w:val="24"/>
          <w:szCs w:val="24"/>
        </w:rPr>
        <w:t xml:space="preserve"> </w:t>
      </w:r>
      <w:proofErr w:type="spellStart"/>
      <w:r w:rsidR="009777DA" w:rsidRPr="000C1C29">
        <w:rPr>
          <w:b/>
          <w:sz w:val="24"/>
          <w:szCs w:val="24"/>
        </w:rPr>
        <w:t>Reaterro</w:t>
      </w:r>
      <w:proofErr w:type="spellEnd"/>
      <w:r w:rsidR="009777DA" w:rsidRPr="000C1C29">
        <w:rPr>
          <w:b/>
          <w:sz w:val="24"/>
          <w:szCs w:val="24"/>
        </w:rPr>
        <w:t xml:space="preserve"> compactado mecanizado de vala ou cava com compactador.</w:t>
      </w:r>
    </w:p>
    <w:p w:rsidR="00D452F6" w:rsidRPr="000C1C29" w:rsidRDefault="009777DA">
      <w:pPr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pelo volume de </w:t>
      </w:r>
      <w:proofErr w:type="spellStart"/>
      <w:r w:rsidRPr="000C1C29">
        <w:rPr>
          <w:sz w:val="24"/>
          <w:szCs w:val="24"/>
        </w:rPr>
        <w:t>reaterro</w:t>
      </w:r>
      <w:proofErr w:type="spellEnd"/>
      <w:r w:rsidRPr="000C1C29">
        <w:rPr>
          <w:sz w:val="24"/>
          <w:szCs w:val="24"/>
        </w:rPr>
        <w:t>, considerado na caixa (m³). O item remunera o fornecimento de equipamentos, materiais acessórios e mão de obra necessária para a execução de aterro de valas ou cavas, englobando os serviços: lançamento e espalhamento manuais do solo; compactação, por meio de compactador; nivelamento, acertos e acabamentos manuais. Não remunera o fornecimento de solo.</w:t>
      </w:r>
    </w:p>
    <w:p w:rsidR="009777DA" w:rsidRPr="000C1C29" w:rsidRDefault="009777DA">
      <w:pPr>
        <w:rPr>
          <w:sz w:val="24"/>
          <w:szCs w:val="24"/>
        </w:rPr>
      </w:pPr>
    </w:p>
    <w:p w:rsidR="00D452F6" w:rsidRPr="000C1C29" w:rsidRDefault="00D452F6" w:rsidP="00D452F6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lastRenderedPageBreak/>
        <w:t>2.</w:t>
      </w:r>
      <w:r w:rsidR="009777DA" w:rsidRPr="000C1C29">
        <w:rPr>
          <w:b/>
          <w:bCs/>
          <w:sz w:val="24"/>
          <w:szCs w:val="24"/>
        </w:rPr>
        <w:t>7</w:t>
      </w:r>
      <w:r w:rsidRPr="000C1C29">
        <w:rPr>
          <w:b/>
          <w:bCs/>
          <w:sz w:val="24"/>
          <w:szCs w:val="24"/>
        </w:rPr>
        <w:t xml:space="preserve"> </w:t>
      </w:r>
      <w:r w:rsidR="009777DA" w:rsidRPr="000C1C29">
        <w:rPr>
          <w:b/>
          <w:sz w:val="24"/>
          <w:szCs w:val="24"/>
        </w:rPr>
        <w:t>Tubo de concreto (PA-1), DN= 1000mm;</w:t>
      </w:r>
    </w:p>
    <w:p w:rsidR="00142E3F" w:rsidRPr="000C1C29" w:rsidRDefault="009777DA" w:rsidP="00D60B54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por comprimento de tubulação instalada (m). O item remunera o fornecimento dos tubos de concreto armado classe PA-1, seção circular, com juntas rígidas argamassadas, para redes de águas pluviais e líquidos não-agressivos, diâmetro nominal de 1.000 mm; argamassa de cimento e areia, traço 1:3, para a junta; argamassa de cimento e areia, traço 1:1, com </w:t>
      </w:r>
      <w:proofErr w:type="spellStart"/>
      <w:r w:rsidRPr="000C1C29">
        <w:rPr>
          <w:sz w:val="24"/>
          <w:szCs w:val="24"/>
        </w:rPr>
        <w:t>hidrófugo</w:t>
      </w:r>
      <w:proofErr w:type="spellEnd"/>
      <w:r w:rsidRPr="000C1C29">
        <w:rPr>
          <w:sz w:val="24"/>
          <w:szCs w:val="24"/>
        </w:rPr>
        <w:t>, para o capeamento externo da junta; guindaste para o içamento, levante e assentamento dos tubos nas valas. Remunera também a mão-de-obra necessária para a execução dos serviços: alinhamento e nivelamento dos tubos; aplicação de juta ou estopa alcatroada na ponta do tubo; encaixe da ponta do tubo, de forma centrada; execução e aplicação da argamassa na bolsa do tubo; capeamento externo da junta com argamassa impermeabilizante, formando respaldo de 45º em relação à superfície do tubo, e o escoramento do tubo com solo proveniente da escavação. Não remunera os serviços de escavação de valas, nem de execução de berço para o assentamento. Norma técnica: NBR 8890.</w:t>
      </w:r>
    </w:p>
    <w:p w:rsidR="009777DA" w:rsidRPr="000C1C29" w:rsidRDefault="009777DA" w:rsidP="00D60B54">
      <w:pPr>
        <w:ind w:left="0" w:firstLine="0"/>
        <w:rPr>
          <w:sz w:val="24"/>
          <w:szCs w:val="24"/>
        </w:rPr>
      </w:pPr>
    </w:p>
    <w:p w:rsidR="009777DA" w:rsidRPr="000C1C29" w:rsidRDefault="009777DA" w:rsidP="009777DA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 xml:space="preserve">2.8 </w:t>
      </w:r>
      <w:r w:rsidRPr="000C1C29">
        <w:rPr>
          <w:b/>
          <w:sz w:val="24"/>
          <w:szCs w:val="24"/>
        </w:rPr>
        <w:t>Lastro de pedra britada</w:t>
      </w:r>
      <w:r w:rsidR="000C1C29" w:rsidRPr="000C1C29">
        <w:rPr>
          <w:b/>
          <w:sz w:val="24"/>
          <w:szCs w:val="24"/>
        </w:rPr>
        <w:t>.</w:t>
      </w:r>
    </w:p>
    <w:p w:rsidR="009777DA" w:rsidRPr="000C1C29" w:rsidRDefault="000C1C29" w:rsidP="00D60B54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pelo volume acabado, na espessura aproximada de 5 cm (m³): a) Para escavação manual, será medido pela área do fundo de vala; b) Para escavação mecanizada, será medido pelo limite. O item remunera o fornecimento de pedra britada em números médios e a mão de obra necessária para o </w:t>
      </w:r>
      <w:proofErr w:type="spellStart"/>
      <w:r w:rsidRPr="000C1C29">
        <w:rPr>
          <w:sz w:val="24"/>
          <w:szCs w:val="24"/>
        </w:rPr>
        <w:t>apiloamento</w:t>
      </w:r>
      <w:proofErr w:type="spellEnd"/>
      <w:r w:rsidRPr="000C1C29">
        <w:rPr>
          <w:sz w:val="24"/>
          <w:szCs w:val="24"/>
        </w:rPr>
        <w:t xml:space="preserve"> do terreno e execução do lastro.</w:t>
      </w:r>
    </w:p>
    <w:p w:rsidR="000C1C29" w:rsidRPr="000C1C29" w:rsidRDefault="000C1C29" w:rsidP="00D60B54">
      <w:pPr>
        <w:ind w:left="0" w:firstLine="0"/>
        <w:rPr>
          <w:sz w:val="24"/>
          <w:szCs w:val="24"/>
        </w:rPr>
      </w:pPr>
    </w:p>
    <w:p w:rsidR="000C1C29" w:rsidRPr="000C1C29" w:rsidRDefault="000C1C29" w:rsidP="000C1C29">
      <w:pPr>
        <w:spacing w:after="0" w:line="240" w:lineRule="auto"/>
        <w:ind w:left="0" w:right="0" w:firstLine="0"/>
        <w:rPr>
          <w:b/>
          <w:color w:val="auto"/>
          <w:sz w:val="24"/>
          <w:szCs w:val="24"/>
        </w:rPr>
      </w:pPr>
      <w:r w:rsidRPr="000C1C29">
        <w:rPr>
          <w:b/>
          <w:bCs/>
          <w:sz w:val="24"/>
          <w:szCs w:val="24"/>
        </w:rPr>
        <w:t xml:space="preserve">2.9 </w:t>
      </w:r>
      <w:r w:rsidRPr="000C1C29">
        <w:rPr>
          <w:b/>
          <w:sz w:val="24"/>
          <w:szCs w:val="24"/>
        </w:rPr>
        <w:t xml:space="preserve">Piso com requadro em concreto simples sem controle de </w:t>
      </w:r>
      <w:proofErr w:type="spellStart"/>
      <w:r w:rsidRPr="000C1C29">
        <w:rPr>
          <w:b/>
          <w:sz w:val="24"/>
          <w:szCs w:val="24"/>
        </w:rPr>
        <w:t>fck</w:t>
      </w:r>
      <w:proofErr w:type="spellEnd"/>
      <w:r w:rsidRPr="000C1C29">
        <w:rPr>
          <w:b/>
          <w:sz w:val="24"/>
          <w:szCs w:val="24"/>
        </w:rPr>
        <w:t>.</w:t>
      </w:r>
    </w:p>
    <w:p w:rsidR="003510BA" w:rsidRPr="000C1C29" w:rsidRDefault="000C1C29" w:rsidP="000C1C29">
      <w:pPr>
        <w:ind w:left="0" w:firstLine="0"/>
        <w:rPr>
          <w:sz w:val="24"/>
          <w:szCs w:val="24"/>
        </w:rPr>
      </w:pPr>
      <w:r w:rsidRPr="000C1C29">
        <w:rPr>
          <w:sz w:val="24"/>
          <w:szCs w:val="24"/>
        </w:rPr>
        <w:t xml:space="preserve">Será medido por volume de piso em concreto simples executado, na espessura indicada em projeto (m³). O item remunera o fornecimento de cimento; areia; pedra britada nº 1; ripa de </w:t>
      </w:r>
      <w:proofErr w:type="spellStart"/>
      <w:r w:rsidRPr="000C1C29">
        <w:rPr>
          <w:sz w:val="24"/>
          <w:szCs w:val="24"/>
        </w:rPr>
        <w:t>Cupiúba</w:t>
      </w:r>
      <w:proofErr w:type="spellEnd"/>
      <w:r w:rsidRPr="000C1C29">
        <w:rPr>
          <w:sz w:val="24"/>
          <w:szCs w:val="24"/>
        </w:rPr>
        <w:t xml:space="preserve"> (</w:t>
      </w:r>
      <w:proofErr w:type="spellStart"/>
      <w:r w:rsidRPr="000C1C29">
        <w:rPr>
          <w:sz w:val="24"/>
          <w:szCs w:val="24"/>
        </w:rPr>
        <w:t>Goupia</w:t>
      </w:r>
      <w:proofErr w:type="spellEnd"/>
      <w:r w:rsidRPr="000C1C29">
        <w:rPr>
          <w:sz w:val="24"/>
          <w:szCs w:val="24"/>
        </w:rPr>
        <w:t xml:space="preserve"> glabra), ou Maçaranduba (</w:t>
      </w:r>
      <w:proofErr w:type="spellStart"/>
      <w:r w:rsidRPr="000C1C29">
        <w:rPr>
          <w:sz w:val="24"/>
          <w:szCs w:val="24"/>
        </w:rPr>
        <w:t>Manilkara</w:t>
      </w:r>
      <w:proofErr w:type="spellEnd"/>
      <w:r w:rsidRPr="000C1C29">
        <w:rPr>
          <w:sz w:val="24"/>
          <w:szCs w:val="24"/>
        </w:rPr>
        <w:t xml:space="preserve"> </w:t>
      </w:r>
      <w:proofErr w:type="spellStart"/>
      <w:r w:rsidRPr="000C1C29">
        <w:rPr>
          <w:sz w:val="24"/>
          <w:szCs w:val="24"/>
        </w:rPr>
        <w:t>spp</w:t>
      </w:r>
      <w:proofErr w:type="spellEnd"/>
      <w:r w:rsidRPr="000C1C29">
        <w:rPr>
          <w:sz w:val="24"/>
          <w:szCs w:val="24"/>
        </w:rPr>
        <w:t xml:space="preserve">), conhecida também como </w:t>
      </w:r>
      <w:proofErr w:type="spellStart"/>
      <w:r w:rsidRPr="000C1C29">
        <w:rPr>
          <w:sz w:val="24"/>
          <w:szCs w:val="24"/>
        </w:rPr>
        <w:t>Paraju</w:t>
      </w:r>
      <w:proofErr w:type="spellEnd"/>
      <w:r w:rsidRPr="000C1C29">
        <w:rPr>
          <w:sz w:val="24"/>
          <w:szCs w:val="24"/>
        </w:rPr>
        <w:t xml:space="preserve">; remunera também o fornecimento de materiais acessórios e a mão de obra necessária para o preparo do concreto, lançamento e a execução do piso com acabamento desempenado, em concreto preparado no local, sem o controle do </w:t>
      </w:r>
      <w:proofErr w:type="spellStart"/>
      <w:r w:rsidRPr="000C1C29">
        <w:rPr>
          <w:sz w:val="24"/>
          <w:szCs w:val="24"/>
        </w:rPr>
        <w:t>fck</w:t>
      </w:r>
      <w:proofErr w:type="spellEnd"/>
      <w:r w:rsidRPr="000C1C29">
        <w:rPr>
          <w:sz w:val="24"/>
          <w:szCs w:val="24"/>
        </w:rPr>
        <w:t>..</w:t>
      </w:r>
    </w:p>
    <w:p w:rsidR="003510BA" w:rsidRPr="000C1C29" w:rsidRDefault="003510BA">
      <w:pPr>
        <w:spacing w:after="3" w:line="259" w:lineRule="auto"/>
        <w:ind w:left="0" w:right="590" w:firstLine="0"/>
        <w:jc w:val="center"/>
        <w:rPr>
          <w:sz w:val="24"/>
          <w:szCs w:val="24"/>
        </w:rPr>
      </w:pPr>
    </w:p>
    <w:p w:rsidR="003510BA" w:rsidRPr="000C1C29" w:rsidRDefault="00643F5E" w:rsidP="00516EC1">
      <w:pPr>
        <w:jc w:val="right"/>
        <w:rPr>
          <w:sz w:val="24"/>
          <w:szCs w:val="24"/>
        </w:rPr>
      </w:pPr>
      <w:r w:rsidRPr="000C1C29">
        <w:rPr>
          <w:sz w:val="24"/>
          <w:szCs w:val="24"/>
        </w:rPr>
        <w:t xml:space="preserve">Prefeitura do Município de Ibitinga, aos </w:t>
      </w:r>
      <w:r w:rsidR="00DF4139" w:rsidRPr="000C1C29">
        <w:rPr>
          <w:sz w:val="24"/>
          <w:szCs w:val="24"/>
        </w:rPr>
        <w:t>2</w:t>
      </w:r>
      <w:r w:rsidR="000C1C29" w:rsidRPr="000C1C29">
        <w:rPr>
          <w:sz w:val="24"/>
          <w:szCs w:val="24"/>
        </w:rPr>
        <w:t>6</w:t>
      </w:r>
      <w:r w:rsidRPr="000C1C29">
        <w:rPr>
          <w:sz w:val="24"/>
          <w:szCs w:val="24"/>
        </w:rPr>
        <w:t>/0</w:t>
      </w:r>
      <w:r w:rsidR="00DF4139" w:rsidRPr="000C1C29">
        <w:rPr>
          <w:sz w:val="24"/>
          <w:szCs w:val="24"/>
        </w:rPr>
        <w:t>3</w:t>
      </w:r>
      <w:r w:rsidRPr="000C1C29">
        <w:rPr>
          <w:sz w:val="24"/>
          <w:szCs w:val="24"/>
        </w:rPr>
        <w:t>/202</w:t>
      </w:r>
      <w:r w:rsidR="00DF4139" w:rsidRPr="000C1C29">
        <w:rPr>
          <w:sz w:val="24"/>
          <w:szCs w:val="24"/>
        </w:rPr>
        <w:t>5</w:t>
      </w:r>
      <w:r w:rsidRPr="000C1C29">
        <w:rPr>
          <w:sz w:val="24"/>
          <w:szCs w:val="24"/>
        </w:rPr>
        <w:t>.</w:t>
      </w:r>
    </w:p>
    <w:p w:rsidR="003510BA" w:rsidRPr="000C1C29" w:rsidRDefault="003510BA">
      <w:pPr>
        <w:jc w:val="center"/>
        <w:rPr>
          <w:sz w:val="24"/>
          <w:szCs w:val="24"/>
        </w:rPr>
      </w:pPr>
    </w:p>
    <w:p w:rsidR="00DF4139" w:rsidRPr="000C1C29" w:rsidRDefault="00DF4139" w:rsidP="000C1C29">
      <w:pPr>
        <w:ind w:left="0" w:firstLine="0"/>
        <w:rPr>
          <w:sz w:val="24"/>
          <w:szCs w:val="24"/>
        </w:rPr>
      </w:pPr>
    </w:p>
    <w:p w:rsidR="003510BA" w:rsidRPr="000C1C29" w:rsidRDefault="003510BA" w:rsidP="00516EC1">
      <w:pPr>
        <w:ind w:left="0" w:firstLine="0"/>
        <w:rPr>
          <w:sz w:val="24"/>
          <w:szCs w:val="24"/>
        </w:rPr>
      </w:pPr>
    </w:p>
    <w:p w:rsidR="00DF4139" w:rsidRPr="000C1C29" w:rsidRDefault="00DF4139" w:rsidP="00DF4139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0C1C29">
        <w:rPr>
          <w:rFonts w:ascii="Arial" w:eastAsia="Calibri" w:hAnsi="Arial" w:cs="Arial"/>
          <w:b/>
          <w:sz w:val="24"/>
          <w:szCs w:val="24"/>
        </w:rPr>
        <w:t>Henrique Faustino do Nascimento Silva</w:t>
      </w:r>
    </w:p>
    <w:p w:rsidR="003510BA" w:rsidRPr="00BE3D6B" w:rsidRDefault="00DF4139" w:rsidP="00BE3D6B">
      <w:pPr>
        <w:pStyle w:val="Recuodecorpodetexto"/>
        <w:widowControl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0C1C29">
        <w:rPr>
          <w:rFonts w:ascii="Arial" w:hAnsi="Arial" w:cs="Arial"/>
          <w:sz w:val="24"/>
          <w:szCs w:val="24"/>
        </w:rPr>
        <w:t>Secretário de Obras Públicas</w:t>
      </w:r>
    </w:p>
    <w:sectPr w:rsidR="003510BA" w:rsidRPr="00BE3D6B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1418" w:header="284" w:footer="72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888" w:rsidRDefault="00AD2888">
      <w:pPr>
        <w:spacing w:after="0" w:line="240" w:lineRule="auto"/>
      </w:pPr>
      <w:r>
        <w:separator/>
      </w:r>
    </w:p>
  </w:endnote>
  <w:endnote w:type="continuationSeparator" w:id="0">
    <w:p w:rsidR="00AD2888" w:rsidRDefault="00AD2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variable"/>
  </w:font>
  <w:font w:name="ArialMT">
    <w:altName w:val="Arial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Rodap"/>
      <w:jc w:val="center"/>
      <w:rPr>
        <w:color w:val="767171"/>
        <w:sz w:val="16"/>
        <w:szCs w:val="16"/>
      </w:rPr>
    </w:pPr>
    <w:r>
      <w:rPr>
        <w:noProof/>
      </w:rPr>
      <w:drawing>
        <wp:inline distT="0" distB="0" distL="0" distR="0">
          <wp:extent cx="5762625" cy="8140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004A6" w:rsidRDefault="000004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Rodap"/>
    </w:pPr>
    <w:r>
      <w:rPr>
        <w:noProof/>
      </w:rPr>
      <w:drawing>
        <wp:inline distT="0" distB="0" distL="0" distR="0">
          <wp:extent cx="5762625" cy="814070"/>
          <wp:effectExtent l="0" t="0" r="0" b="0"/>
          <wp:docPr id="4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4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888" w:rsidRDefault="00AD2888">
      <w:pPr>
        <w:spacing w:after="0" w:line="240" w:lineRule="auto"/>
      </w:pPr>
      <w:r>
        <w:separator/>
      </w:r>
    </w:p>
  </w:footnote>
  <w:footnote w:type="continuationSeparator" w:id="0">
    <w:p w:rsidR="00AD2888" w:rsidRDefault="00AD2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spacing w:after="0" w:line="259" w:lineRule="auto"/>
      <w:ind w:left="0" w:right="0" w:firstLine="0"/>
      <w:jc w:val="left"/>
    </w:pPr>
    <w:r>
      <w:rPr>
        <w:rFonts w:ascii="Calibri" w:hAnsi="Calibri" w:cs="Calibri"/>
        <w:sz w:val="20"/>
      </w:rPr>
      <w:t xml:space="preserve"> </w:t>
    </w:r>
  </w:p>
  <w:p w:rsidR="000004A6" w:rsidRDefault="000004A6">
    <w:pPr>
      <w:spacing w:after="0" w:line="259" w:lineRule="auto"/>
      <w:ind w:left="0" w:right="602" w:firstLine="0"/>
      <w:jc w:val="center"/>
    </w:pPr>
    <w:r>
      <w:rPr>
        <w:b/>
        <w:sz w:val="28"/>
        <w:u w:val="single" w:color="000000"/>
      </w:rPr>
      <w:t xml:space="preserve">Continuação </w:t>
    </w:r>
    <w:r>
      <w:rPr>
        <w:b/>
        <w:sz w:val="28"/>
        <w:u w:val="single" w:color="000000"/>
        <w:shd w:val="clear" w:color="auto" w:fill="FFFF00"/>
      </w:rPr>
      <w:t>ANEXO 23</w:t>
    </w: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pStyle w:val="Cabealho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4A6" w:rsidRDefault="000004A6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>
          <wp:extent cx="5762625" cy="1083945"/>
          <wp:effectExtent l="0" t="0" r="0" b="0"/>
          <wp:docPr id="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83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4E70"/>
    <w:multiLevelType w:val="multilevel"/>
    <w:tmpl w:val="4A4822D6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1" w15:restartNumberingAfterBreak="0">
    <w:nsid w:val="213533F9"/>
    <w:multiLevelType w:val="multilevel"/>
    <w:tmpl w:val="29C02F14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0BA"/>
    <w:rsid w:val="000004A6"/>
    <w:rsid w:val="00091FB6"/>
    <w:rsid w:val="000C1C29"/>
    <w:rsid w:val="000D21D8"/>
    <w:rsid w:val="000E13D9"/>
    <w:rsid w:val="000E6553"/>
    <w:rsid w:val="001048CF"/>
    <w:rsid w:val="00125812"/>
    <w:rsid w:val="00142E3F"/>
    <w:rsid w:val="001448F9"/>
    <w:rsid w:val="00191511"/>
    <w:rsid w:val="001927FD"/>
    <w:rsid w:val="001A084C"/>
    <w:rsid w:val="001F3292"/>
    <w:rsid w:val="00223549"/>
    <w:rsid w:val="002B3417"/>
    <w:rsid w:val="003510BA"/>
    <w:rsid w:val="00383E4E"/>
    <w:rsid w:val="003B0E6F"/>
    <w:rsid w:val="00472B6A"/>
    <w:rsid w:val="004A79D3"/>
    <w:rsid w:val="004C0EF8"/>
    <w:rsid w:val="004C7B82"/>
    <w:rsid w:val="004D3361"/>
    <w:rsid w:val="004E0DD0"/>
    <w:rsid w:val="00510C9C"/>
    <w:rsid w:val="00516EC1"/>
    <w:rsid w:val="0057298C"/>
    <w:rsid w:val="005C5774"/>
    <w:rsid w:val="005D1209"/>
    <w:rsid w:val="00617C3C"/>
    <w:rsid w:val="00643F5E"/>
    <w:rsid w:val="006B1216"/>
    <w:rsid w:val="00762734"/>
    <w:rsid w:val="0077727D"/>
    <w:rsid w:val="007B1F32"/>
    <w:rsid w:val="007B5A9B"/>
    <w:rsid w:val="008047E9"/>
    <w:rsid w:val="00843FBE"/>
    <w:rsid w:val="00851185"/>
    <w:rsid w:val="008920E9"/>
    <w:rsid w:val="00907C67"/>
    <w:rsid w:val="009777DA"/>
    <w:rsid w:val="00981610"/>
    <w:rsid w:val="00994E66"/>
    <w:rsid w:val="009A7546"/>
    <w:rsid w:val="00A06C9C"/>
    <w:rsid w:val="00A1534E"/>
    <w:rsid w:val="00A37781"/>
    <w:rsid w:val="00A57A1F"/>
    <w:rsid w:val="00AD2888"/>
    <w:rsid w:val="00B05978"/>
    <w:rsid w:val="00BD2243"/>
    <w:rsid w:val="00BE3D6B"/>
    <w:rsid w:val="00BF7AD7"/>
    <w:rsid w:val="00CA64CE"/>
    <w:rsid w:val="00CD6EF5"/>
    <w:rsid w:val="00D452F6"/>
    <w:rsid w:val="00D60B54"/>
    <w:rsid w:val="00D729A9"/>
    <w:rsid w:val="00DD1930"/>
    <w:rsid w:val="00DF4139"/>
    <w:rsid w:val="00DF477F"/>
    <w:rsid w:val="00E41131"/>
    <w:rsid w:val="00E66A17"/>
    <w:rsid w:val="00EA4F3C"/>
    <w:rsid w:val="00EE41CD"/>
    <w:rsid w:val="00F034E4"/>
    <w:rsid w:val="00F07EA4"/>
    <w:rsid w:val="00F243AC"/>
    <w:rsid w:val="00F332F8"/>
    <w:rsid w:val="00F47AFB"/>
    <w:rsid w:val="00F52C8B"/>
    <w:rsid w:val="00F56835"/>
    <w:rsid w:val="00F6259D"/>
    <w:rsid w:val="00F86713"/>
    <w:rsid w:val="00FE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93EF"/>
  <w15:docId w15:val="{8741AC4D-5DC6-4B5E-AFBC-72BD66172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C00"/>
    <w:pPr>
      <w:spacing w:after="5" w:line="247" w:lineRule="auto"/>
      <w:ind w:left="123" w:right="455" w:hanging="10"/>
      <w:jc w:val="both"/>
    </w:pPr>
    <w:rPr>
      <w:rFonts w:ascii="Arial" w:hAnsi="Arial" w:cs="Arial"/>
      <w:color w:val="000000"/>
    </w:rPr>
  </w:style>
  <w:style w:type="paragraph" w:styleId="Ttulo1">
    <w:name w:val="heading 1"/>
    <w:basedOn w:val="Normal"/>
    <w:next w:val="Normal"/>
    <w:link w:val="Ttulo1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0"/>
    </w:pPr>
    <w:rPr>
      <w:rFonts w:cs="Times New Roman"/>
      <w:b/>
    </w:rPr>
  </w:style>
  <w:style w:type="paragraph" w:styleId="Ttulo2">
    <w:name w:val="heading 2"/>
    <w:basedOn w:val="Normal"/>
    <w:next w:val="Normal"/>
    <w:link w:val="Ttulo2Char"/>
    <w:uiPriority w:val="99"/>
    <w:qFormat/>
    <w:rsid w:val="007C6C00"/>
    <w:pPr>
      <w:keepNext/>
      <w:keepLines/>
      <w:spacing w:after="11" w:line="252" w:lineRule="auto"/>
      <w:ind w:right="0"/>
      <w:jc w:val="left"/>
      <w:outlineLvl w:val="1"/>
    </w:pPr>
    <w:rPr>
      <w:rFonts w:cs="Times New Roman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Ttulo2Char">
    <w:name w:val="Título 2 Char"/>
    <w:basedOn w:val="Fontepargpadro"/>
    <w:link w:val="Ttulo2"/>
    <w:uiPriority w:val="99"/>
    <w:qFormat/>
    <w:locked/>
    <w:rsid w:val="007C6C00"/>
    <w:rPr>
      <w:rFonts w:ascii="Arial" w:hAnsi="Arial" w:cs="Times New Roman"/>
      <w:b/>
      <w:color w:val="000000"/>
      <w:sz w:val="22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EB6CE0"/>
    <w:rPr>
      <w:rFonts w:ascii="Arial" w:hAnsi="Arial" w:cs="Arial"/>
      <w:color w:val="000000"/>
    </w:rPr>
  </w:style>
  <w:style w:type="character" w:customStyle="1" w:styleId="CabealhoChar">
    <w:name w:val="Cabeçalho Char"/>
    <w:basedOn w:val="Fontepargpadro"/>
    <w:link w:val="Cabealho"/>
    <w:uiPriority w:val="99"/>
    <w:qFormat/>
    <w:locked/>
    <w:rsid w:val="00B51613"/>
    <w:rPr>
      <w:rFonts w:cs="Times New Roman"/>
    </w:rPr>
  </w:style>
  <w:style w:type="character" w:customStyle="1" w:styleId="fontstyle01">
    <w:name w:val="fontstyle01"/>
    <w:basedOn w:val="Fontepargpadro"/>
    <w:qFormat/>
    <w:rsid w:val="00C04118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C04118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qFormat/>
    <w:rsid w:val="00E3172E"/>
    <w:rPr>
      <w:rFonts w:ascii="ArialMT" w:hAnsi="ArialMT"/>
      <w:b w:val="0"/>
      <w:bCs w:val="0"/>
      <w:i w:val="0"/>
      <w:iCs w:val="0"/>
      <w:color w:val="000000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EB6CE0"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rsid w:val="00B5161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="Calibri" w:hAnsi="Calibri" w:cs="Times New Roman"/>
      <w:color w:val="auto"/>
    </w:rPr>
  </w:style>
  <w:style w:type="paragraph" w:customStyle="1" w:styleId="Default">
    <w:name w:val="Default"/>
    <w:qFormat/>
    <w:rsid w:val="00682C8D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6658B1"/>
    <w:pPr>
      <w:ind w:left="720"/>
      <w:contextualSpacing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DF4139"/>
  </w:style>
  <w:style w:type="paragraph" w:styleId="Recuodecorpodetexto">
    <w:name w:val="Body Text Indent"/>
    <w:basedOn w:val="Normal"/>
    <w:link w:val="RecuodecorpodetextoChar"/>
    <w:uiPriority w:val="99"/>
    <w:unhideWhenUsed/>
    <w:rsid w:val="00DF4139"/>
    <w:pPr>
      <w:spacing w:after="120" w:line="276" w:lineRule="auto"/>
      <w:ind w:left="283" w:right="0" w:firstLine="0"/>
      <w:jc w:val="left"/>
    </w:pPr>
    <w:rPr>
      <w:rFonts w:ascii="Calibri" w:hAnsi="Calibri" w:cs="Times New Roman"/>
      <w:color w:val="auto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F4139"/>
    <w:rPr>
      <w:rFonts w:ascii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21D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F7470-72C4-4BB8-BF53-16E67907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4</Pages>
  <Words>1536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dc:description/>
  <cp:lastModifiedBy>Diretor</cp:lastModifiedBy>
  <cp:revision>102</cp:revision>
  <cp:lastPrinted>2025-03-26T14:32:00Z</cp:lastPrinted>
  <dcterms:created xsi:type="dcterms:W3CDTF">2024-04-24T12:07:00Z</dcterms:created>
  <dcterms:modified xsi:type="dcterms:W3CDTF">2025-03-26T15:06:00Z</dcterms:modified>
  <dc:language>pt-BR</dc:language>
</cp:coreProperties>
</file>